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Title:</w:t>
        <w:tab/>
        <w:t xml:space="preserve">Educator Exit and Engagement Survey</w:t>
        <w:tab/>
        <w:tab/>
        <w:tab/>
        <w:tab/>
        <w:t xml:space="preserve">Effective Date: April 1, 2020</w:t>
        <w:tab/>
        <w:tab/>
        <w:tab/>
        <w:tab/>
        <w:tab/>
        <w:tab/>
        <w:tab/>
        <w:tab/>
        <w:tab/>
      </w:r>
    </w:p>
    <w:p w:rsidR="00000000" w:rsidDel="00000000" w:rsidP="00000000" w:rsidRDefault="00000000" w:rsidRPr="00000000" w14:paraId="00000003">
      <w:pPr>
        <w:rPr/>
      </w:pPr>
      <w:r w:rsidDel="00000000" w:rsidR="00000000" w:rsidRPr="00000000">
        <w:rPr>
          <w:rtl w:val="0"/>
        </w:rPr>
        <w:t xml:space="preserve">References:</w:t>
        <w:tab/>
      </w:r>
    </w:p>
    <w:p w:rsidR="00000000" w:rsidDel="00000000" w:rsidP="00000000" w:rsidRDefault="00000000" w:rsidRPr="00000000" w14:paraId="00000004">
      <w:pPr>
        <w:rPr>
          <w:u w:val="single"/>
        </w:rPr>
      </w:pPr>
      <w:r w:rsidDel="00000000" w:rsidR="00000000" w:rsidRPr="00000000">
        <w:rPr>
          <w:u w:val="single"/>
          <w:rtl w:val="0"/>
        </w:rPr>
        <w:t xml:space="preserve">Purpose</w:t>
      </w:r>
    </w:p>
    <w:p w:rsidR="00000000" w:rsidDel="00000000" w:rsidP="00000000" w:rsidRDefault="00000000" w:rsidRPr="00000000" w14:paraId="00000005">
      <w:pPr>
        <w:spacing w:after="0" w:line="240" w:lineRule="auto"/>
        <w:rPr/>
      </w:pPr>
      <w:r w:rsidDel="00000000" w:rsidR="00000000" w:rsidRPr="00000000">
        <w:rPr>
          <w:rtl w:val="0"/>
        </w:rPr>
        <w:t xml:space="preserve">Surveys may provide objective and subjective data for use by the Ignite Entrepreneurship Academy (IEA) governing board, as well as the Utah State Board of Education (USBE) and other relevant, authorized parties.</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rPr>
          <w:b w:val="1"/>
          <w:sz w:val="24"/>
          <w:szCs w:val="24"/>
          <w:u w:val="single"/>
        </w:rPr>
      </w:pPr>
      <w:r w:rsidDel="00000000" w:rsidR="00000000" w:rsidRPr="00000000">
        <w:rPr>
          <w:b w:val="1"/>
          <w:sz w:val="24"/>
          <w:szCs w:val="24"/>
          <w:u w:val="single"/>
          <w:rtl w:val="0"/>
        </w:rPr>
        <w:t xml:space="preserve">Policy</w:t>
      </w:r>
    </w:p>
    <w:p w:rsidR="00000000" w:rsidDel="00000000" w:rsidP="00000000" w:rsidRDefault="00000000" w:rsidRPr="00000000" w14:paraId="00000008">
      <w:pPr>
        <w:spacing w:line="240" w:lineRule="auto"/>
        <w:rPr/>
      </w:pPr>
      <w:r w:rsidDel="00000000" w:rsidR="00000000" w:rsidRPr="00000000">
        <w:rPr>
          <w:rtl w:val="0"/>
        </w:rPr>
        <w:t xml:space="preserve">The Ignite Entrepreneurship Academy governing board and staff shall administer public educator exit and engagement surveys to educators (i.e. classroom teacher, preschool teacher, special education teacher, or school-based specialist) as required by Utah state statute, USBE administrative rule and IEA’s governing board policy. </w:t>
      </w:r>
    </w:p>
    <w:p w:rsidR="00000000" w:rsidDel="00000000" w:rsidP="00000000" w:rsidRDefault="00000000" w:rsidRPr="00000000" w14:paraId="00000009">
      <w:pPr>
        <w:spacing w:line="240" w:lineRule="auto"/>
        <w:rPr/>
      </w:pPr>
      <w:r w:rsidDel="00000000" w:rsidR="00000000" w:rsidRPr="00000000">
        <w:rPr>
          <w:rtl w:val="0"/>
        </w:rPr>
        <w:t xml:space="preserve">IEA shall utilize the USBE recommended platform for survey questions in order to assure data quality and uniformity. IEA recognizes the responsibility of its Board and staff to protect Personally Identifiable Information (PII), which may be sensitive, private or protected under Utah’s Government Records Access Management Act (GRAMA). To properly administer surveys, and in order to protect PII, IEA will use only secure methods of survey administration, data collection and transfer. The intervals for administration of surveys will be in accordance with USBE rules. All required data shall be transferred to the State Superintendent of Public Education (hereafter “Superintendent”) by June 30 of each calendar year.</w:t>
      </w:r>
    </w:p>
    <w:p w:rsidR="00000000" w:rsidDel="00000000" w:rsidP="00000000" w:rsidRDefault="00000000" w:rsidRPr="00000000" w14:paraId="0000000A">
      <w:pPr>
        <w:spacing w:after="0" w:line="240" w:lineRule="auto"/>
        <w:rPr/>
      </w:pPr>
      <w:r w:rsidDel="00000000" w:rsidR="00000000" w:rsidRPr="00000000">
        <w:rPr>
          <w:rtl w:val="0"/>
        </w:rPr>
        <w:t xml:space="preserve">Consistent with USBE rule, surveys:</w:t>
      </w:r>
    </w:p>
    <w:p w:rsidR="00000000" w:rsidDel="00000000" w:rsidP="00000000" w:rsidRDefault="00000000" w:rsidRPr="00000000" w14:paraId="0000000B">
      <w:pPr>
        <w:numPr>
          <w:ilvl w:val="0"/>
          <w:numId w:val="1"/>
        </w:numPr>
        <w:spacing w:after="0" w:line="240" w:lineRule="auto"/>
        <w:ind w:left="720" w:hanging="360"/>
        <w:rPr>
          <w:u w:val="none"/>
        </w:rPr>
      </w:pPr>
      <w:r w:rsidDel="00000000" w:rsidR="00000000" w:rsidRPr="00000000">
        <w:rPr>
          <w:rtl w:val="0"/>
        </w:rPr>
        <w:t xml:space="preserve">Shall allow each Educator to remain anonymous</w:t>
      </w:r>
    </w:p>
    <w:p w:rsidR="00000000" w:rsidDel="00000000" w:rsidP="00000000" w:rsidRDefault="00000000" w:rsidRPr="00000000" w14:paraId="0000000C">
      <w:pPr>
        <w:numPr>
          <w:ilvl w:val="0"/>
          <w:numId w:val="1"/>
        </w:numPr>
        <w:spacing w:after="0" w:line="240" w:lineRule="auto"/>
        <w:ind w:left="720" w:hanging="360"/>
        <w:rPr>
          <w:u w:val="none"/>
        </w:rPr>
      </w:pPr>
      <w:r w:rsidDel="00000000" w:rsidR="00000000" w:rsidRPr="00000000">
        <w:rPr>
          <w:rtl w:val="0"/>
        </w:rPr>
        <w:t xml:space="preserve">May NOT request the Educator’s CACTUS ID number</w:t>
      </w:r>
    </w:p>
    <w:p w:rsidR="00000000" w:rsidDel="00000000" w:rsidP="00000000" w:rsidRDefault="00000000" w:rsidRPr="00000000" w14:paraId="0000000D">
      <w:pPr>
        <w:numPr>
          <w:ilvl w:val="0"/>
          <w:numId w:val="1"/>
        </w:numPr>
        <w:spacing w:after="0" w:line="240" w:lineRule="auto"/>
        <w:ind w:left="720" w:hanging="360"/>
        <w:rPr>
          <w:u w:val="none"/>
        </w:rPr>
      </w:pPr>
      <w:r w:rsidDel="00000000" w:rsidR="00000000" w:rsidRPr="00000000">
        <w:rPr>
          <w:rtl w:val="0"/>
        </w:rPr>
        <w:t xml:space="preserve">Shall ask each Educator to identify the Educator’s Local Education Agency (LEA)</w:t>
      </w:r>
    </w:p>
    <w:p w:rsidR="00000000" w:rsidDel="00000000" w:rsidP="00000000" w:rsidRDefault="00000000" w:rsidRPr="00000000" w14:paraId="0000000E">
      <w:pPr>
        <w:numPr>
          <w:ilvl w:val="0"/>
          <w:numId w:val="1"/>
        </w:numPr>
        <w:spacing w:after="0" w:line="240" w:lineRule="auto"/>
        <w:ind w:left="720" w:hanging="360"/>
        <w:rPr>
          <w:u w:val="none"/>
        </w:rPr>
      </w:pPr>
      <w:r w:rsidDel="00000000" w:rsidR="00000000" w:rsidRPr="00000000">
        <w:rPr>
          <w:rtl w:val="0"/>
        </w:rPr>
        <w:t xml:space="preserve">May ask each Educator to voluntarily identify the Educator’s school</w:t>
      </w:r>
    </w:p>
    <w:p w:rsidR="00000000" w:rsidDel="00000000" w:rsidP="00000000" w:rsidRDefault="00000000" w:rsidRPr="00000000" w14:paraId="0000000F">
      <w:pPr>
        <w:numPr>
          <w:ilvl w:val="0"/>
          <w:numId w:val="1"/>
        </w:numPr>
        <w:spacing w:after="0" w:line="240" w:lineRule="auto"/>
        <w:ind w:left="720" w:hanging="360"/>
        <w:rPr>
          <w:u w:val="none"/>
        </w:rPr>
      </w:pPr>
      <w:r w:rsidDel="00000000" w:rsidR="00000000" w:rsidRPr="00000000">
        <w:rPr>
          <w:rtl w:val="0"/>
        </w:rPr>
        <w:t xml:space="preserve">May ask each Educator to provide basic non-identifying demographic data as requested by the</w:t>
      </w:r>
    </w:p>
    <w:p w:rsidR="00000000" w:rsidDel="00000000" w:rsidP="00000000" w:rsidRDefault="00000000" w:rsidRPr="00000000" w14:paraId="00000010">
      <w:pPr>
        <w:spacing w:after="0" w:line="240" w:lineRule="auto"/>
        <w:ind w:left="720" w:firstLine="0"/>
        <w:rPr/>
      </w:pPr>
      <w:r w:rsidDel="00000000" w:rsidR="00000000" w:rsidRPr="00000000">
        <w:rPr>
          <w:rtl w:val="0"/>
        </w:rPr>
        <w:t xml:space="preserve">Superintendent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Date originally approved:  _______________</w:t>
      </w:r>
    </w:p>
    <w:p w:rsidR="00000000" w:rsidDel="00000000" w:rsidP="00000000" w:rsidRDefault="00000000" w:rsidRPr="00000000" w14:paraId="00000013">
      <w:pPr>
        <w:rPr/>
      </w:pPr>
      <w:r w:rsidDel="00000000" w:rsidR="00000000" w:rsidRPr="00000000">
        <w:rPr>
          <w:rtl w:val="0"/>
        </w:rPr>
        <w:t xml:space="preserve">Attest:</w:t>
      </w:r>
    </w:p>
    <w:p w:rsidR="00000000" w:rsidDel="00000000" w:rsidP="00000000" w:rsidRDefault="00000000" w:rsidRPr="00000000" w14:paraId="00000014">
      <w:pPr>
        <w:rPr/>
      </w:pPr>
      <w:r w:rsidDel="00000000" w:rsidR="00000000" w:rsidRPr="00000000">
        <w:rPr>
          <w:rtl w:val="0"/>
        </w:rPr>
        <w:t xml:space="preserve">Board Chair/President</w:t>
        <w:tab/>
        <w:tab/>
        <w:tab/>
        <w:tab/>
        <w:tab/>
        <w:t xml:space="preserve">Board Secretary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_____________________________________</w:t>
        <w:tab/>
        <w:tab/>
        <w:t xml:space="preserve">____________________________________</w:t>
      </w:r>
    </w:p>
    <w:p w:rsidR="00000000" w:rsidDel="00000000" w:rsidP="00000000" w:rsidRDefault="00000000" w:rsidRPr="00000000" w14:paraId="00000017">
      <w:pPr>
        <w:spacing w:after="0" w:line="240" w:lineRule="auto"/>
        <w:rPr/>
      </w:pPr>
      <w:r w:rsidDel="00000000" w:rsidR="00000000" w:rsidRPr="00000000">
        <w:rPr>
          <w:rtl w:val="0"/>
        </w:rPr>
        <w:t xml:space="preserve">Signature</w:t>
        <w:tab/>
        <w:tab/>
        <w:tab/>
        <w:tab/>
        <w:tab/>
        <w:tab/>
        <w:t xml:space="preserve">Signature</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_____________________________________</w:t>
        <w:tab/>
        <w:tab/>
        <w:t xml:space="preserve">____________________________________</w:t>
      </w:r>
    </w:p>
    <w:p w:rsidR="00000000" w:rsidDel="00000000" w:rsidP="00000000" w:rsidRDefault="00000000" w:rsidRPr="00000000" w14:paraId="0000001A">
      <w:pPr>
        <w:spacing w:after="0" w:line="240" w:lineRule="auto"/>
        <w:rPr/>
      </w:pPr>
      <w:r w:rsidDel="00000000" w:rsidR="00000000" w:rsidRPr="00000000">
        <w:rPr>
          <w:rtl w:val="0"/>
        </w:rPr>
        <w:t xml:space="preserve">Printed Name</w:t>
        <w:tab/>
        <w:tab/>
        <w:tab/>
        <w:tab/>
        <w:tab/>
        <w:tab/>
        <w:t xml:space="preserve">Printed Name</w:t>
      </w:r>
    </w:p>
    <w:p w:rsidR="00000000" w:rsidDel="00000000" w:rsidP="00000000" w:rsidRDefault="00000000" w:rsidRPr="00000000" w14:paraId="0000001B">
      <w:pPr>
        <w:rPr/>
      </w:pPr>
      <w:bookmarkStart w:colFirst="0" w:colLast="0" w:name="_gjdgxs" w:id="0"/>
      <w:bookmarkEnd w:id="0"/>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Ignite Entrepreneurship Academy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Policies &amp; Procedures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-28574</wp:posOffset>
              </wp:positionH>
              <wp:positionV relativeFrom="paragraph">
                <wp:posOffset>695325</wp:posOffset>
              </wp:positionV>
              <wp:extent cx="5956300" cy="12700"/>
              <wp:effectExtent b="0" l="0" r="0" t="0"/>
              <wp:wrapNone/>
              <wp:docPr id="1" name=""/>
              <a:graphic>
                <a:graphicData uri="http://schemas.microsoft.com/office/word/2010/wordprocessingShape">
                  <wps:wsp>
                    <wps:cNvCnPr/>
                    <wps:spPr>
                      <a:xfrm>
                        <a:off x="2364675" y="3780000"/>
                        <a:ext cx="596265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wp:posOffset>
              </wp:positionH>
              <wp:positionV relativeFrom="paragraph">
                <wp:posOffset>695325</wp:posOffset>
              </wp:positionV>
              <wp:extent cx="59563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63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